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8D" w:rsidRPr="008F355B" w:rsidRDefault="002F2C8D">
      <w:pPr>
        <w:rPr>
          <w:rFonts w:ascii="Times New Roman" w:hAnsi="Times New Roman" w:cs="Times New Roman"/>
          <w:sz w:val="24"/>
          <w:szCs w:val="24"/>
        </w:rPr>
      </w:pPr>
    </w:p>
    <w:p w:rsidR="00F31029" w:rsidRPr="008F355B" w:rsidRDefault="00905C0E" w:rsidP="00AB256D">
      <w:pPr>
        <w:jc w:val="center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 xml:space="preserve">MANUAL DE AYUDA PARA EL PORGRAMA </w:t>
      </w:r>
      <w:r w:rsidRPr="008F355B">
        <w:rPr>
          <w:rFonts w:ascii="Times New Roman" w:hAnsi="Times New Roman" w:cs="Times New Roman"/>
          <w:b/>
          <w:sz w:val="24"/>
          <w:szCs w:val="24"/>
        </w:rPr>
        <w:t>PRESUD</w:t>
      </w:r>
      <w:r w:rsidRPr="008F355B">
        <w:rPr>
          <w:rFonts w:ascii="Times New Roman" w:hAnsi="Times New Roman" w:cs="Times New Roman"/>
          <w:sz w:val="24"/>
          <w:szCs w:val="24"/>
        </w:rPr>
        <w:t xml:space="preserve"> APLICADA A SUBUNIDADES DE REIGO POR GOTEO</w:t>
      </w:r>
    </w:p>
    <w:p w:rsidR="008F355B" w:rsidRPr="008F355B" w:rsidRDefault="008F355B">
      <w:pPr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 xml:space="preserve">Para poder trabajar con PRESUD será necesario en primer ligar </w:t>
      </w:r>
      <w:r w:rsidRPr="008F355B">
        <w:rPr>
          <w:rFonts w:ascii="Times New Roman" w:hAnsi="Times New Roman" w:cs="Times New Roman"/>
          <w:b/>
          <w:sz w:val="24"/>
          <w:szCs w:val="24"/>
        </w:rPr>
        <w:t>descargar e instalar en compilador</w:t>
      </w:r>
      <w:r w:rsidRPr="008F355B">
        <w:rPr>
          <w:rFonts w:ascii="Times New Roman" w:hAnsi="Times New Roman" w:cs="Times New Roman"/>
          <w:sz w:val="24"/>
          <w:szCs w:val="24"/>
        </w:rPr>
        <w:t xml:space="preserve"> de MATLAB de 32 o 64 bit que ofrece según el tipo de ordenador disponible.</w:t>
      </w:r>
    </w:p>
    <w:p w:rsidR="00F31029" w:rsidRPr="008F355B" w:rsidRDefault="00F31029">
      <w:pPr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El primer paso es activar el botón  “</w:t>
      </w:r>
      <w:r w:rsidRPr="008F355B">
        <w:rPr>
          <w:rFonts w:ascii="Times New Roman" w:hAnsi="Times New Roman" w:cs="Times New Roman"/>
          <w:b/>
          <w:sz w:val="24"/>
          <w:szCs w:val="24"/>
        </w:rPr>
        <w:t>comenzar</w:t>
      </w:r>
      <w:r w:rsidRPr="008F355B">
        <w:rPr>
          <w:rFonts w:ascii="Times New Roman" w:hAnsi="Times New Roman" w:cs="Times New Roman"/>
          <w:sz w:val="24"/>
          <w:szCs w:val="24"/>
        </w:rPr>
        <w:t>” y después el botón   “</w:t>
      </w:r>
      <w:r w:rsidRPr="008F355B">
        <w:rPr>
          <w:rFonts w:ascii="Times New Roman" w:hAnsi="Times New Roman" w:cs="Times New Roman"/>
          <w:b/>
          <w:sz w:val="24"/>
          <w:szCs w:val="24"/>
        </w:rPr>
        <w:t>valores por defecto</w:t>
      </w:r>
      <w:r w:rsidRPr="008F355B">
        <w:rPr>
          <w:rFonts w:ascii="Times New Roman" w:hAnsi="Times New Roman" w:cs="Times New Roman"/>
          <w:sz w:val="24"/>
          <w:szCs w:val="24"/>
        </w:rPr>
        <w:t xml:space="preserve">”, lo que cargará un conjunto de valores típicos para la variables </w:t>
      </w:r>
    </w:p>
    <w:p w:rsidR="00C35D19" w:rsidRPr="008F355B" w:rsidRDefault="00C35D19" w:rsidP="00C35D19">
      <w:pPr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 xml:space="preserve">Después de introducir todos los datos </w:t>
      </w:r>
      <w:r w:rsidR="00AB256D">
        <w:rPr>
          <w:rFonts w:ascii="Times New Roman" w:hAnsi="Times New Roman" w:cs="Times New Roman"/>
          <w:sz w:val="24"/>
          <w:szCs w:val="24"/>
        </w:rPr>
        <w:t xml:space="preserve">(los decimales se separan por punto “.”, no por coma “,”), </w:t>
      </w:r>
      <w:r w:rsidRPr="008F355B">
        <w:rPr>
          <w:rFonts w:ascii="Times New Roman" w:hAnsi="Times New Roman" w:cs="Times New Roman"/>
          <w:sz w:val="24"/>
          <w:szCs w:val="24"/>
        </w:rPr>
        <w:t>activar el botón “</w:t>
      </w:r>
      <w:r w:rsidRPr="008F355B">
        <w:rPr>
          <w:rFonts w:ascii="Times New Roman" w:hAnsi="Times New Roman" w:cs="Times New Roman"/>
          <w:b/>
          <w:sz w:val="24"/>
          <w:szCs w:val="24"/>
        </w:rPr>
        <w:t>Calcular</w:t>
      </w:r>
      <w:r w:rsidRPr="008F355B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C35D19" w:rsidRPr="008F355B" w:rsidRDefault="00C35D19" w:rsidP="00C35D19">
      <w:pPr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Para encontrar la solución que hace el caudal medio de la subunidad igual al caudal del aspersor medio definid</w:t>
      </w:r>
      <w:r w:rsidR="008F355B" w:rsidRPr="008F355B">
        <w:rPr>
          <w:rFonts w:ascii="Times New Roman" w:hAnsi="Times New Roman" w:cs="Times New Roman"/>
          <w:sz w:val="24"/>
          <w:szCs w:val="24"/>
        </w:rPr>
        <w:t>o como dato, activar el botón “</w:t>
      </w:r>
      <w:r w:rsidRPr="008F355B">
        <w:rPr>
          <w:rFonts w:ascii="Times New Roman" w:hAnsi="Times New Roman" w:cs="Times New Roman"/>
          <w:b/>
          <w:sz w:val="24"/>
          <w:szCs w:val="24"/>
        </w:rPr>
        <w:t>Ajustar al caudal nominal</w:t>
      </w:r>
      <w:r w:rsidRPr="008F355B">
        <w:rPr>
          <w:rFonts w:ascii="Times New Roman" w:hAnsi="Times New Roman" w:cs="Times New Roman"/>
          <w:sz w:val="24"/>
          <w:szCs w:val="24"/>
        </w:rPr>
        <w:t>”</w:t>
      </w:r>
    </w:p>
    <w:p w:rsidR="00C35D19" w:rsidRPr="008F355B" w:rsidRDefault="00C35D19" w:rsidP="00C35D19">
      <w:pPr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Para visualizar la representación gráfica de la distribución de caudales descargados por los aspersores y  las presiones a la entrada de los aspersores de la subunidad, activar el botón “</w:t>
      </w:r>
      <w:r w:rsidRPr="008F355B">
        <w:rPr>
          <w:rFonts w:ascii="Times New Roman" w:hAnsi="Times New Roman" w:cs="Times New Roman"/>
          <w:b/>
          <w:sz w:val="24"/>
          <w:szCs w:val="24"/>
        </w:rPr>
        <w:t>Figuras</w:t>
      </w:r>
      <w:r w:rsidRPr="008F355B">
        <w:rPr>
          <w:rFonts w:ascii="Times New Roman" w:hAnsi="Times New Roman" w:cs="Times New Roman"/>
          <w:sz w:val="24"/>
          <w:szCs w:val="24"/>
        </w:rPr>
        <w:t>”</w:t>
      </w:r>
    </w:p>
    <w:p w:rsidR="00C35D19" w:rsidRPr="008F355B" w:rsidRDefault="00C35D19">
      <w:pPr>
        <w:rPr>
          <w:rFonts w:ascii="Times New Roman" w:hAnsi="Times New Roman" w:cs="Times New Roman"/>
          <w:sz w:val="24"/>
          <w:szCs w:val="24"/>
        </w:rPr>
      </w:pPr>
    </w:p>
    <w:p w:rsidR="00F31029" w:rsidRPr="008F355B" w:rsidRDefault="00F31029">
      <w:pPr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Aclaraciones adiciones:</w:t>
      </w:r>
    </w:p>
    <w:p w:rsidR="00F31029" w:rsidRPr="008F355B" w:rsidRDefault="00F31029" w:rsidP="00F3102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Es necesario seleccionar si la alimentación de la terciaria y de los ramales se realiza por un punto intermedio</w:t>
      </w:r>
      <w:r w:rsidR="00074A77" w:rsidRPr="008F355B">
        <w:rPr>
          <w:rFonts w:ascii="Times New Roman" w:hAnsi="Times New Roman" w:cs="Times New Roman"/>
          <w:sz w:val="24"/>
          <w:szCs w:val="24"/>
        </w:rPr>
        <w:t xml:space="preserve"> (Fig. 1) </w:t>
      </w:r>
      <w:r w:rsidRPr="008F355B">
        <w:rPr>
          <w:rFonts w:ascii="Times New Roman" w:hAnsi="Times New Roman" w:cs="Times New Roman"/>
          <w:sz w:val="24"/>
          <w:szCs w:val="24"/>
        </w:rPr>
        <w:t>o por un extremo</w:t>
      </w:r>
    </w:p>
    <w:p w:rsidR="00905C0E" w:rsidRPr="008F355B" w:rsidRDefault="00895A36" w:rsidP="00895A36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3442915" cy="2284736"/>
            <wp:effectExtent l="0" t="0" r="5135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153" cy="228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95A36" w:rsidRPr="008F355B" w:rsidRDefault="00074A77" w:rsidP="00895A36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Fig. 1. Esquema de presiones en la alimentación de un ramal o terciaria por un punto intermedio.</w:t>
      </w:r>
    </w:p>
    <w:p w:rsidR="00905C0E" w:rsidRPr="008F355B" w:rsidRDefault="00074A77" w:rsidP="00187DC8">
      <w:pPr>
        <w:ind w:left="708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A su vez, la alimentación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 de un </w:t>
      </w:r>
      <w:r w:rsidR="00905C0E" w:rsidRPr="008F355B">
        <w:rPr>
          <w:rFonts w:ascii="Times New Roman" w:hAnsi="Times New Roman" w:cs="Times New Roman"/>
          <w:b/>
          <w:sz w:val="24"/>
          <w:szCs w:val="24"/>
        </w:rPr>
        <w:t>ramal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 por un punto intermedio</w:t>
      </w:r>
      <w:r w:rsidRPr="008F355B">
        <w:rPr>
          <w:rFonts w:ascii="Times New Roman" w:hAnsi="Times New Roman" w:cs="Times New Roman"/>
          <w:sz w:val="24"/>
          <w:szCs w:val="24"/>
        </w:rPr>
        <w:t xml:space="preserve"> podría 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hacerse: a) por un punto equidistante entre dos goteros o b) </w:t>
      </w:r>
      <w:r w:rsidR="00591488" w:rsidRPr="008F355B">
        <w:rPr>
          <w:rFonts w:ascii="Times New Roman" w:hAnsi="Times New Roman" w:cs="Times New Roman"/>
          <w:sz w:val="24"/>
          <w:szCs w:val="24"/>
        </w:rPr>
        <w:t>por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 otra distancia fijada por el usuario que no resulte equidistante. La alimentación de una </w:t>
      </w:r>
      <w:r w:rsidR="00905C0E" w:rsidRPr="008F355B">
        <w:rPr>
          <w:rFonts w:ascii="Times New Roman" w:hAnsi="Times New Roman" w:cs="Times New Roman"/>
          <w:b/>
          <w:sz w:val="24"/>
          <w:szCs w:val="24"/>
        </w:rPr>
        <w:t>tubería terciaria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 por un punto intermedio podría hacerse: a) por un punto equidistante entre dos ramales, b) junto a uno de los ramales, c) por el </w:t>
      </w:r>
      <w:r w:rsidR="00187DC8" w:rsidRPr="008F355B">
        <w:rPr>
          <w:rFonts w:ascii="Times New Roman" w:hAnsi="Times New Roman" w:cs="Times New Roman"/>
          <w:sz w:val="24"/>
          <w:szCs w:val="24"/>
        </w:rPr>
        <w:t>punto exacto (“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punto </w:t>
      </w:r>
      <w:r w:rsidR="00187DC8" w:rsidRPr="008F355B">
        <w:rPr>
          <w:rFonts w:ascii="Times New Roman" w:hAnsi="Times New Roman" w:cs="Times New Roman"/>
          <w:sz w:val="24"/>
          <w:szCs w:val="24"/>
        </w:rPr>
        <w:t xml:space="preserve">teórico”) </w:t>
      </w:r>
      <w:r w:rsidR="00187DC8" w:rsidRPr="008F355B">
        <w:rPr>
          <w:rFonts w:ascii="Times New Roman" w:hAnsi="Times New Roman" w:cs="Times New Roman"/>
          <w:sz w:val="24"/>
          <w:szCs w:val="24"/>
        </w:rPr>
        <w:lastRenderedPageBreak/>
        <w:t>que consigue que la diferencia de presiones (máxima-mínima) sean iguales en</w:t>
      </w:r>
      <w:r w:rsidR="006D31B4" w:rsidRPr="008F355B">
        <w:rPr>
          <w:rFonts w:ascii="Times New Roman" w:hAnsi="Times New Roman" w:cs="Times New Roman"/>
          <w:sz w:val="24"/>
          <w:szCs w:val="24"/>
        </w:rPr>
        <w:t xml:space="preserve"> el </w:t>
      </w:r>
      <w:r w:rsidR="00187DC8" w:rsidRPr="008F355B">
        <w:rPr>
          <w:rFonts w:ascii="Times New Roman" w:hAnsi="Times New Roman" w:cs="Times New Roman"/>
          <w:sz w:val="24"/>
          <w:szCs w:val="24"/>
        </w:rPr>
        <w:t xml:space="preserve"> tramo ascendente y en el descendente; d)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 </w:t>
      </w:r>
      <w:r w:rsidR="00591488" w:rsidRPr="008F355B">
        <w:rPr>
          <w:rFonts w:ascii="Times New Roman" w:hAnsi="Times New Roman" w:cs="Times New Roman"/>
          <w:sz w:val="24"/>
          <w:szCs w:val="24"/>
        </w:rPr>
        <w:t>por</w:t>
      </w:r>
      <w:r w:rsidR="00905C0E" w:rsidRPr="008F355B">
        <w:rPr>
          <w:rFonts w:ascii="Times New Roman" w:hAnsi="Times New Roman" w:cs="Times New Roman"/>
          <w:sz w:val="24"/>
          <w:szCs w:val="24"/>
        </w:rPr>
        <w:t xml:space="preserve"> otra distancia fijada por el usuario que no resulte equidistante</w:t>
      </w:r>
      <w:r w:rsidR="00187DC8" w:rsidRPr="008F355B">
        <w:rPr>
          <w:rFonts w:ascii="Times New Roman" w:hAnsi="Times New Roman" w:cs="Times New Roman"/>
          <w:sz w:val="24"/>
          <w:szCs w:val="24"/>
        </w:rPr>
        <w:t xml:space="preserve"> </w:t>
      </w:r>
      <w:r w:rsidR="00591488" w:rsidRPr="008F355B">
        <w:rPr>
          <w:rFonts w:ascii="Times New Roman" w:hAnsi="Times New Roman" w:cs="Times New Roman"/>
          <w:sz w:val="24"/>
          <w:szCs w:val="24"/>
        </w:rPr>
        <w:t>en</w:t>
      </w:r>
      <w:r w:rsidR="006D31B4" w:rsidRPr="008F355B">
        <w:rPr>
          <w:rFonts w:ascii="Times New Roman" w:hAnsi="Times New Roman" w:cs="Times New Roman"/>
          <w:sz w:val="24"/>
          <w:szCs w:val="24"/>
        </w:rPr>
        <w:t>tre</w:t>
      </w:r>
      <w:r w:rsidR="00187DC8" w:rsidRPr="008F355B">
        <w:rPr>
          <w:rFonts w:ascii="Times New Roman" w:hAnsi="Times New Roman" w:cs="Times New Roman"/>
          <w:sz w:val="24"/>
          <w:szCs w:val="24"/>
        </w:rPr>
        <w:t xml:space="preserve"> dos ramales</w:t>
      </w:r>
      <w:r w:rsidR="00905C0E" w:rsidRPr="008F355B">
        <w:rPr>
          <w:rFonts w:ascii="Times New Roman" w:hAnsi="Times New Roman" w:cs="Times New Roman"/>
          <w:sz w:val="24"/>
          <w:szCs w:val="24"/>
        </w:rPr>
        <w:t>.</w:t>
      </w:r>
    </w:p>
    <w:p w:rsidR="00010828" w:rsidRPr="008F355B" w:rsidRDefault="00010828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 xml:space="preserve">La ecuación de descarga de un emisor se expresa como q = K </w:t>
      </w:r>
      <w:proofErr w:type="spellStart"/>
      <w:r w:rsidRPr="008F355B">
        <w:rPr>
          <w:rFonts w:ascii="Times New Roman" w:eastAsiaTheme="minorHAnsi" w:hAnsi="Times New Roman"/>
          <w:sz w:val="24"/>
          <w:szCs w:val="24"/>
        </w:rPr>
        <w:t>H</w:t>
      </w:r>
      <w:r w:rsidRPr="008F355B">
        <w:rPr>
          <w:rFonts w:ascii="Times New Roman" w:eastAsiaTheme="minorHAnsi" w:hAnsi="Times New Roman"/>
          <w:sz w:val="24"/>
          <w:szCs w:val="24"/>
          <w:vertAlign w:val="superscript"/>
        </w:rPr>
        <w:t>x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, donde q = caudal del emisor (L/h); K = coeficiente de emisor; H = presión a la entrada del emisor (m); x= exponente de descarga del emisor (0 &lt; x &lt; 1). </w:t>
      </w:r>
      <w:r w:rsidR="006D31B4" w:rsidRPr="008F355B">
        <w:rPr>
          <w:rFonts w:ascii="Times New Roman" w:eastAsiaTheme="minorHAnsi" w:hAnsi="Times New Roman"/>
          <w:sz w:val="24"/>
          <w:szCs w:val="24"/>
        </w:rPr>
        <w:t>Dando los valores de q, H y x, el programa calcula el valor de K</w:t>
      </w:r>
    </w:p>
    <w:p w:rsidR="00F31029" w:rsidRPr="008F355B" w:rsidRDefault="00074A77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>Teniendo en cuanta que la</w:t>
      </w:r>
      <w:r w:rsidR="00FB404E" w:rsidRPr="008F355B">
        <w:rPr>
          <w:rFonts w:ascii="Times New Roman" w:eastAsiaTheme="minorHAnsi" w:hAnsi="Times New Roman"/>
          <w:sz w:val="24"/>
          <w:szCs w:val="24"/>
        </w:rPr>
        <w:t xml:space="preserve"> longitud equivalente de un elemento singular de una tubería</w:t>
      </w:r>
      <w:bookmarkStart w:id="0" w:name="_GoBack"/>
      <w:bookmarkEnd w:id="0"/>
      <w:r w:rsidR="00691AC0" w:rsidRPr="008F355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F355B">
        <w:rPr>
          <w:rFonts w:ascii="Times New Roman" w:eastAsiaTheme="minorHAnsi" w:hAnsi="Times New Roman"/>
          <w:sz w:val="24"/>
          <w:szCs w:val="24"/>
        </w:rPr>
        <w:t>es</w:t>
      </w:r>
      <w:r w:rsidR="00691AC0" w:rsidRPr="008F355B">
        <w:rPr>
          <w:rFonts w:ascii="Times New Roman" w:eastAsiaTheme="minorHAnsi" w:hAnsi="Times New Roman"/>
          <w:sz w:val="24"/>
          <w:szCs w:val="24"/>
        </w:rPr>
        <w:t xml:space="preserve"> aquella longitud de tubería que tiene las mismas perdidas de carga por rozamiento que el elemento singular</w:t>
      </w:r>
      <w:r w:rsidRPr="008F355B">
        <w:rPr>
          <w:rFonts w:ascii="Times New Roman" w:eastAsiaTheme="minorHAnsi" w:hAnsi="Times New Roman"/>
          <w:sz w:val="24"/>
          <w:szCs w:val="24"/>
        </w:rPr>
        <w:t>, se p</w:t>
      </w:r>
      <w:r w:rsidR="006D31B4" w:rsidRPr="008F355B">
        <w:rPr>
          <w:rFonts w:ascii="Times New Roman" w:eastAsiaTheme="minorHAnsi" w:hAnsi="Times New Roman"/>
          <w:sz w:val="24"/>
          <w:szCs w:val="24"/>
        </w:rPr>
        <w:t>i</w:t>
      </w:r>
      <w:r w:rsidRPr="008F355B">
        <w:rPr>
          <w:rFonts w:ascii="Times New Roman" w:eastAsiaTheme="minorHAnsi" w:hAnsi="Times New Roman"/>
          <w:sz w:val="24"/>
          <w:szCs w:val="24"/>
        </w:rPr>
        <w:t>den las longitudes equivalentes de la conexión de un gotero  a un ramal (normalmente entre 0,15 y 1,0 m)  y de un ramal a una terciaria (normalmente entre 0,15 y 0,60 m)</w:t>
      </w:r>
    </w:p>
    <w:p w:rsidR="00187DC8" w:rsidRPr="008F355B" w:rsidRDefault="00187DC8" w:rsidP="00C35D19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spellStart"/>
      <w:r w:rsidRPr="008F355B">
        <w:rPr>
          <w:rFonts w:ascii="Times New Roman" w:eastAsiaTheme="minorHAnsi" w:hAnsi="Times New Roman"/>
          <w:sz w:val="24"/>
          <w:szCs w:val="24"/>
        </w:rPr>
        <w:t>CV</w:t>
      </w:r>
      <w:r w:rsidRPr="008F355B">
        <w:rPr>
          <w:rFonts w:ascii="Times New Roman" w:eastAsiaTheme="minorHAnsi" w:hAnsi="Times New Roman"/>
          <w:sz w:val="24"/>
          <w:szCs w:val="24"/>
          <w:vertAlign w:val="subscript"/>
        </w:rPr>
        <w:t>qm</w:t>
      </w:r>
      <w:r w:rsidR="00591488" w:rsidRPr="008F355B">
        <w:rPr>
          <w:rFonts w:ascii="Times New Roman" w:eastAsiaTheme="minorHAnsi" w:hAnsi="Times New Roman"/>
          <w:sz w:val="24"/>
          <w:szCs w:val="24"/>
          <w:vertAlign w:val="subscript"/>
        </w:rPr>
        <w:t>f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 = el coeficiente de variación de fabricación de los emisores</w:t>
      </w:r>
      <w:r w:rsidR="00281AA5" w:rsidRPr="008F355B">
        <w:rPr>
          <w:rFonts w:ascii="Times New Roman" w:eastAsiaTheme="minorHAnsi" w:hAnsi="Times New Roman"/>
          <w:sz w:val="24"/>
          <w:szCs w:val="24"/>
        </w:rPr>
        <w:t xml:space="preserve"> considerados</w:t>
      </w:r>
      <w:r w:rsidRPr="008F355B">
        <w:rPr>
          <w:rFonts w:ascii="Times New Roman" w:eastAsiaTheme="minorHAnsi" w:hAnsi="Times New Roman"/>
          <w:sz w:val="24"/>
          <w:szCs w:val="24"/>
        </w:rPr>
        <w:t>. Este dato se  necesita para calcular al Uniformidad de Emisión en la subunidad de</w:t>
      </w:r>
      <w:r w:rsidR="00281AA5" w:rsidRPr="008F355B">
        <w:rPr>
          <w:rFonts w:ascii="Times New Roman" w:eastAsiaTheme="minorHAnsi" w:hAnsi="Times New Roman"/>
          <w:sz w:val="24"/>
          <w:szCs w:val="24"/>
        </w:rPr>
        <w:t xml:space="preserve"> r</w:t>
      </w:r>
      <w:r w:rsidRPr="008F355B">
        <w:rPr>
          <w:rFonts w:ascii="Times New Roman" w:eastAsiaTheme="minorHAnsi" w:hAnsi="Times New Roman"/>
          <w:sz w:val="24"/>
          <w:szCs w:val="24"/>
        </w:rPr>
        <w:t>i</w:t>
      </w:r>
      <w:r w:rsidR="00281AA5" w:rsidRPr="008F355B">
        <w:rPr>
          <w:rFonts w:ascii="Times New Roman" w:eastAsiaTheme="minorHAnsi" w:hAnsi="Times New Roman"/>
          <w:sz w:val="24"/>
          <w:szCs w:val="24"/>
        </w:rPr>
        <w:t>e</w:t>
      </w:r>
      <w:r w:rsidRPr="008F355B">
        <w:rPr>
          <w:rFonts w:ascii="Times New Roman" w:eastAsiaTheme="minorHAnsi" w:hAnsi="Times New Roman"/>
          <w:sz w:val="24"/>
          <w:szCs w:val="24"/>
        </w:rPr>
        <w:t xml:space="preserve">go (EU), </w:t>
      </w:r>
    </w:p>
    <w:p w:rsidR="00187DC8" w:rsidRPr="008F355B" w:rsidRDefault="00281AA5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>So = es la distancia del origen de la tubería terciaria hasta el primer ramal (m)</w:t>
      </w:r>
      <w:r w:rsidR="006D31B4" w:rsidRPr="008F355B">
        <w:rPr>
          <w:rFonts w:ascii="Times New Roman" w:eastAsiaTheme="minorHAnsi" w:hAnsi="Times New Roman"/>
          <w:sz w:val="24"/>
          <w:szCs w:val="24"/>
        </w:rPr>
        <w:t>, dato necesario solo cuando se alimenta desde un extremo</w:t>
      </w:r>
    </w:p>
    <w:p w:rsidR="00281AA5" w:rsidRPr="008F355B" w:rsidRDefault="00281AA5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>La separación entre plantas es necesaria para calcular el número de goteros por planta</w:t>
      </w:r>
      <w:r w:rsidR="006D31B4" w:rsidRPr="008F355B">
        <w:rPr>
          <w:rFonts w:ascii="Times New Roman" w:eastAsiaTheme="minorHAnsi" w:hAnsi="Times New Roman"/>
          <w:sz w:val="24"/>
          <w:szCs w:val="24"/>
        </w:rPr>
        <w:t xml:space="preserve"> (e)</w:t>
      </w:r>
    </w:p>
    <w:p w:rsidR="00281AA5" w:rsidRPr="008F355B" w:rsidRDefault="00281AA5" w:rsidP="00281AA5">
      <w:pPr>
        <w:pStyle w:val="Prrafodelista"/>
        <w:numPr>
          <w:ilvl w:val="0"/>
          <w:numId w:val="1"/>
        </w:numPr>
        <w:tabs>
          <w:tab w:val="left" w:pos="-1440"/>
          <w:tab w:val="left" w:pos="-720"/>
        </w:tabs>
        <w:suppressAutoHyphens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la eficiencia general de aplicación de la subunidad (</w:t>
      </w:r>
      <w:proofErr w:type="spellStart"/>
      <w:r w:rsidRPr="008F355B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 xml:space="preserve">) </w:t>
      </w:r>
      <w:r w:rsidR="006D31B4" w:rsidRPr="008F355B">
        <w:rPr>
          <w:rFonts w:ascii="Times New Roman" w:hAnsi="Times New Roman" w:cs="Times New Roman"/>
          <w:sz w:val="24"/>
          <w:szCs w:val="24"/>
        </w:rPr>
        <w:t>se</w:t>
      </w:r>
      <w:r w:rsidRPr="008F355B">
        <w:rPr>
          <w:rFonts w:ascii="Times New Roman" w:hAnsi="Times New Roman" w:cs="Times New Roman"/>
          <w:sz w:val="24"/>
          <w:szCs w:val="24"/>
        </w:rPr>
        <w:t xml:space="preserve"> calcula  como: </w:t>
      </w:r>
    </w:p>
    <w:p w:rsidR="00281AA5" w:rsidRPr="008F355B" w:rsidRDefault="00281AA5" w:rsidP="00281AA5">
      <w:pPr>
        <w:pStyle w:val="Prrafodelista"/>
        <w:tabs>
          <w:tab w:val="left" w:pos="-1440"/>
          <w:tab w:val="left" w:pos="-720"/>
        </w:tabs>
        <w:suppressAutoHyphens/>
        <w:spacing w:after="120"/>
        <w:ind w:left="78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F355B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F355B">
        <w:rPr>
          <w:rFonts w:ascii="Times New Roman" w:hAnsi="Times New Roman" w:cs="Times New Roman"/>
          <w:sz w:val="24"/>
          <w:szCs w:val="24"/>
        </w:rPr>
        <w:t>EU</w:t>
      </w:r>
      <w:r w:rsidR="00963336" w:rsidRPr="008F355B">
        <w:rPr>
          <w:rFonts w:ascii="Times New Roman" w:hAnsi="Times New Roman" w:cs="Times New Roman"/>
          <w:sz w:val="24"/>
          <w:szCs w:val="24"/>
          <w:vertAlign w:val="subscript"/>
        </w:rPr>
        <w:t>q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F355B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47D" w:rsidRPr="008F355B" w:rsidRDefault="006D31B4" w:rsidP="006D31B4">
      <w:pPr>
        <w:pStyle w:val="Prrafodelista"/>
        <w:tabs>
          <w:tab w:val="left" w:pos="-1440"/>
          <w:tab w:val="left" w:pos="-720"/>
        </w:tabs>
        <w:suppressAutoHyphens/>
        <w:spacing w:after="120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 xml:space="preserve">Siendo </w:t>
      </w:r>
      <w:proofErr w:type="spellStart"/>
      <w:r w:rsidR="00281AA5" w:rsidRPr="008F355B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="00281AA5" w:rsidRPr="008F355B">
        <w:rPr>
          <w:rFonts w:ascii="Times New Roman" w:hAnsi="Times New Roman" w:cs="Times New Roman"/>
          <w:sz w:val="24"/>
          <w:szCs w:val="24"/>
        </w:rPr>
        <w:t xml:space="preserve">= </w:t>
      </w:r>
      <w:r w:rsidR="0069547D" w:rsidRPr="008F355B">
        <w:rPr>
          <w:rFonts w:ascii="Times New Roman" w:hAnsi="Times New Roman" w:cs="Times New Roman"/>
          <w:sz w:val="24"/>
          <w:szCs w:val="24"/>
        </w:rPr>
        <w:t>la relación de tr</w:t>
      </w:r>
      <w:r w:rsidR="00281AA5" w:rsidRPr="008F355B">
        <w:rPr>
          <w:rFonts w:ascii="Times New Roman" w:hAnsi="Times New Roman" w:cs="Times New Roman"/>
          <w:sz w:val="24"/>
          <w:szCs w:val="24"/>
        </w:rPr>
        <w:t>an</w:t>
      </w:r>
      <w:r w:rsidR="0069547D" w:rsidRPr="008F355B">
        <w:rPr>
          <w:rFonts w:ascii="Times New Roman" w:hAnsi="Times New Roman" w:cs="Times New Roman"/>
          <w:sz w:val="24"/>
          <w:szCs w:val="24"/>
        </w:rPr>
        <w:t>s</w:t>
      </w:r>
      <w:r w:rsidR="00281AA5" w:rsidRPr="008F355B">
        <w:rPr>
          <w:rFonts w:ascii="Times New Roman" w:hAnsi="Times New Roman" w:cs="Times New Roman"/>
          <w:sz w:val="24"/>
          <w:szCs w:val="24"/>
        </w:rPr>
        <w:t>piración en perio</w:t>
      </w:r>
      <w:r w:rsidR="0069547D" w:rsidRPr="008F355B">
        <w:rPr>
          <w:rFonts w:ascii="Times New Roman" w:hAnsi="Times New Roman" w:cs="Times New Roman"/>
          <w:sz w:val="24"/>
          <w:szCs w:val="24"/>
        </w:rPr>
        <w:t xml:space="preserve">do punta (Tabla 1) </w:t>
      </w:r>
      <w:r w:rsidR="00281AA5" w:rsidRPr="008F355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81AA5" w:rsidRPr="008F355B">
        <w:rPr>
          <w:rFonts w:ascii="Times New Roman" w:hAnsi="Times New Roman" w:cs="Times New Roman"/>
          <w:sz w:val="24"/>
          <w:szCs w:val="24"/>
        </w:rPr>
        <w:t>Keller</w:t>
      </w:r>
      <w:proofErr w:type="spellEnd"/>
      <w:r w:rsidR="00281AA5" w:rsidRPr="008F355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281AA5" w:rsidRPr="008F355B">
        <w:rPr>
          <w:rFonts w:ascii="Times New Roman" w:hAnsi="Times New Roman" w:cs="Times New Roman"/>
          <w:sz w:val="24"/>
          <w:szCs w:val="24"/>
        </w:rPr>
        <w:t>Bliesner</w:t>
      </w:r>
      <w:proofErr w:type="spellEnd"/>
      <w:r w:rsidR="00281AA5" w:rsidRPr="008F355B">
        <w:rPr>
          <w:rFonts w:ascii="Times New Roman" w:hAnsi="Times New Roman" w:cs="Times New Roman"/>
          <w:sz w:val="24"/>
          <w:szCs w:val="24"/>
        </w:rPr>
        <w:t xml:space="preserve"> 1990). Esta representa el agua adicional que debe ser aplicada por </w:t>
      </w:r>
      <w:r w:rsidR="0069547D" w:rsidRPr="008F355B">
        <w:rPr>
          <w:rFonts w:ascii="Times New Roman" w:hAnsi="Times New Roman" w:cs="Times New Roman"/>
          <w:sz w:val="24"/>
          <w:szCs w:val="24"/>
        </w:rPr>
        <w:t>pérdidas</w:t>
      </w:r>
      <w:r w:rsidR="00281AA5" w:rsidRPr="008F355B">
        <w:rPr>
          <w:rFonts w:ascii="Times New Roman" w:hAnsi="Times New Roman" w:cs="Times New Roman"/>
          <w:sz w:val="24"/>
          <w:szCs w:val="24"/>
        </w:rPr>
        <w:t xml:space="preserve"> </w:t>
      </w:r>
      <w:r w:rsidR="0069547D" w:rsidRPr="008F355B">
        <w:rPr>
          <w:rFonts w:ascii="Times New Roman" w:hAnsi="Times New Roman" w:cs="Times New Roman"/>
          <w:sz w:val="24"/>
          <w:szCs w:val="24"/>
        </w:rPr>
        <w:t>inevitables</w:t>
      </w:r>
      <w:r w:rsidR="00281AA5" w:rsidRPr="008F355B">
        <w:rPr>
          <w:rFonts w:ascii="Times New Roman" w:hAnsi="Times New Roman" w:cs="Times New Roman"/>
          <w:sz w:val="24"/>
          <w:szCs w:val="24"/>
        </w:rPr>
        <w:t xml:space="preserve"> por </w:t>
      </w:r>
      <w:r w:rsidR="0069547D" w:rsidRPr="008F355B">
        <w:rPr>
          <w:rFonts w:ascii="Times New Roman" w:hAnsi="Times New Roman" w:cs="Times New Roman"/>
          <w:sz w:val="24"/>
          <w:szCs w:val="24"/>
        </w:rPr>
        <w:t>percolación</w:t>
      </w:r>
      <w:r w:rsidR="00281AA5" w:rsidRPr="008F355B">
        <w:rPr>
          <w:rFonts w:ascii="Times New Roman" w:hAnsi="Times New Roman" w:cs="Times New Roman"/>
          <w:sz w:val="24"/>
          <w:szCs w:val="24"/>
        </w:rPr>
        <w:t xml:space="preserve"> fuera de la zona radicular</w:t>
      </w:r>
      <w:r w:rsidR="0069547D" w:rsidRPr="008F3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1AA5" w:rsidRPr="008F355B" w:rsidRDefault="0069547D" w:rsidP="0069547D">
      <w:pPr>
        <w:tabs>
          <w:tab w:val="left" w:pos="-1440"/>
          <w:tab w:val="left" w:pos="-720"/>
        </w:tabs>
        <w:suppressAutoHyphens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 xml:space="preserve">Tabla 1. Valores de </w:t>
      </w:r>
      <w:proofErr w:type="spellStart"/>
      <w:r w:rsidRPr="008F355B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 xml:space="preserve"> en función de la textura del suelo la profundidad radicular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3"/>
        <w:gridCol w:w="1734"/>
        <w:gridCol w:w="1751"/>
        <w:gridCol w:w="1751"/>
        <w:gridCol w:w="1751"/>
      </w:tblGrid>
      <w:tr w:rsidR="0069547D" w:rsidRPr="008F355B" w:rsidTr="003F4D1B">
        <w:tc>
          <w:tcPr>
            <w:tcW w:w="1733" w:type="dxa"/>
            <w:vMerge w:val="restart"/>
          </w:tcPr>
          <w:p w:rsidR="0069547D" w:rsidRPr="008F355B" w:rsidRDefault="0069547D" w:rsidP="0069547D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Profundidad </w:t>
            </w:r>
            <w:proofErr w:type="spellStart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redicular</w:t>
            </w:r>
            <w:proofErr w:type="spellEnd"/>
          </w:p>
        </w:tc>
        <w:tc>
          <w:tcPr>
            <w:tcW w:w="6987" w:type="dxa"/>
            <w:gridSpan w:val="4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Textura del suelo</w:t>
            </w:r>
          </w:p>
        </w:tc>
      </w:tr>
      <w:tr w:rsidR="0069547D" w:rsidRPr="008F355B" w:rsidTr="003F4D1B">
        <w:tc>
          <w:tcPr>
            <w:tcW w:w="1733" w:type="dxa"/>
            <w:vMerge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Muy gruesa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gruesa 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media 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fina</w:t>
            </w:r>
          </w:p>
        </w:tc>
      </w:tr>
      <w:tr w:rsidR="0069547D" w:rsidRPr="008F355B" w:rsidTr="003F4D1B">
        <w:tc>
          <w:tcPr>
            <w:tcW w:w="1733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&lt; 0.8 m</w:t>
            </w:r>
          </w:p>
        </w:tc>
        <w:tc>
          <w:tcPr>
            <w:tcW w:w="1734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69547D" w:rsidRPr="008F355B" w:rsidTr="003F4D1B">
        <w:tc>
          <w:tcPr>
            <w:tcW w:w="1733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0.8 </w:t>
            </w:r>
            <w:proofErr w:type="spellStart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 1.50 m</w:t>
            </w:r>
          </w:p>
        </w:tc>
        <w:tc>
          <w:tcPr>
            <w:tcW w:w="1734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69547D" w:rsidRPr="008F355B" w:rsidTr="003F4D1B">
        <w:tc>
          <w:tcPr>
            <w:tcW w:w="1733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&gt; 1.50 m</w:t>
            </w:r>
          </w:p>
        </w:tc>
        <w:tc>
          <w:tcPr>
            <w:tcW w:w="1734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751" w:type="dxa"/>
          </w:tcPr>
          <w:p w:rsidR="0069547D" w:rsidRPr="008F355B" w:rsidRDefault="0069547D" w:rsidP="003F4D1B">
            <w:pPr>
              <w:tabs>
                <w:tab w:val="left" w:pos="-1440"/>
                <w:tab w:val="left" w:pos="-720"/>
              </w:tabs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69547D" w:rsidRPr="008F355B" w:rsidRDefault="0069547D" w:rsidP="0069547D">
      <w:pPr>
        <w:pStyle w:val="Prrafodelista"/>
        <w:tabs>
          <w:tab w:val="left" w:pos="-1440"/>
          <w:tab w:val="left" w:pos="-720"/>
        </w:tabs>
        <w:suppressAutoHyphens/>
        <w:spacing w:after="120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 xml:space="preserve">Para </w:t>
      </w:r>
      <w:proofErr w:type="spellStart"/>
      <w:r w:rsidRPr="008F355B">
        <w:rPr>
          <w:rFonts w:ascii="Times New Roman" w:hAnsi="Times New Roman" w:cs="Times New Roman"/>
          <w:sz w:val="24"/>
          <w:szCs w:val="24"/>
        </w:rPr>
        <w:t>microaspersión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 xml:space="preserve"> añadir 0.05 a </w:t>
      </w:r>
      <w:proofErr w:type="spellStart"/>
      <w:r w:rsidRPr="008F355B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 xml:space="preserve"> en climas húmedos y 0.10 en climas áridos para tener en </w:t>
      </w:r>
      <w:r w:rsidR="00591488" w:rsidRPr="008F355B">
        <w:rPr>
          <w:rFonts w:ascii="Times New Roman" w:hAnsi="Times New Roman" w:cs="Times New Roman"/>
          <w:sz w:val="24"/>
          <w:szCs w:val="24"/>
        </w:rPr>
        <w:t>cuenta</w:t>
      </w:r>
      <w:r w:rsidRPr="008F355B">
        <w:rPr>
          <w:rFonts w:ascii="Times New Roman" w:hAnsi="Times New Roman" w:cs="Times New Roman"/>
          <w:sz w:val="24"/>
          <w:szCs w:val="24"/>
        </w:rPr>
        <w:t xml:space="preserve"> la evaporación</w:t>
      </w:r>
    </w:p>
    <w:p w:rsidR="00281AA5" w:rsidRPr="008F355B" w:rsidRDefault="008F355B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>El</w:t>
      </w:r>
      <w:r w:rsidR="0069547D" w:rsidRPr="008F355B">
        <w:rPr>
          <w:rFonts w:ascii="Times New Roman" w:eastAsiaTheme="minorHAnsi" w:hAnsi="Times New Roman"/>
          <w:sz w:val="24"/>
          <w:szCs w:val="24"/>
        </w:rPr>
        <w:t xml:space="preserve"> rendimiento de la bomba es el rendimiento global de la </w:t>
      </w:r>
      <w:proofErr w:type="spellStart"/>
      <w:r w:rsidR="0069547D" w:rsidRPr="008F355B">
        <w:rPr>
          <w:rFonts w:ascii="Times New Roman" w:eastAsiaTheme="minorHAnsi" w:hAnsi="Times New Roman"/>
          <w:sz w:val="24"/>
          <w:szCs w:val="24"/>
        </w:rPr>
        <w:t>bomba+motor+variador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. Valores recomendado después de las auditorias </w:t>
      </w:r>
      <w:proofErr w:type="spellStart"/>
      <w:r w:rsidRPr="008F355B">
        <w:rPr>
          <w:rFonts w:ascii="Times New Roman" w:eastAsiaTheme="minorHAnsi" w:hAnsi="Times New Roman"/>
          <w:sz w:val="24"/>
          <w:szCs w:val="24"/>
        </w:rPr>
        <w:t>enegética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F355B">
        <w:rPr>
          <w:rFonts w:ascii="Times New Roman" w:eastAsiaTheme="minorHAnsi" w:hAnsi="Times New Roman"/>
          <w:sz w:val="24"/>
          <w:szCs w:val="24"/>
        </w:rPr>
        <w:t>realziadas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 a estaciones de bombeo en castilla-La Mancha son entre 65 y 70%</w:t>
      </w:r>
    </w:p>
    <w:p w:rsidR="0069547D" w:rsidRPr="008F355B" w:rsidRDefault="00947D38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 xml:space="preserve">Es necesario hacer una selección previa de los diámetros de tubería para el ramal y terciaria. </w:t>
      </w:r>
      <w:r w:rsidR="0069547D" w:rsidRPr="008F355B">
        <w:rPr>
          <w:rFonts w:ascii="Times New Roman" w:eastAsiaTheme="minorHAnsi" w:hAnsi="Times New Roman"/>
          <w:sz w:val="24"/>
          <w:szCs w:val="24"/>
        </w:rPr>
        <w:t>Los preci</w:t>
      </w:r>
      <w:r w:rsidR="00591488" w:rsidRPr="008F355B">
        <w:rPr>
          <w:rFonts w:ascii="Times New Roman" w:eastAsiaTheme="minorHAnsi" w:hAnsi="Times New Roman"/>
          <w:sz w:val="24"/>
          <w:szCs w:val="24"/>
        </w:rPr>
        <w:t>os de ramal y terciaria aparecerán</w:t>
      </w:r>
      <w:r w:rsidR="0069547D" w:rsidRPr="008F355B">
        <w:rPr>
          <w:rFonts w:ascii="Times New Roman" w:eastAsiaTheme="minorHAnsi" w:hAnsi="Times New Roman"/>
          <w:sz w:val="24"/>
          <w:szCs w:val="24"/>
        </w:rPr>
        <w:t xml:space="preserve"> al seleccionar el diámetro de tubería. Esta base de datos </w:t>
      </w:r>
      <w:r w:rsidR="00591488" w:rsidRPr="008F355B">
        <w:rPr>
          <w:rFonts w:ascii="Times New Roman" w:eastAsiaTheme="minorHAnsi" w:hAnsi="Times New Roman"/>
          <w:sz w:val="24"/>
          <w:szCs w:val="24"/>
        </w:rPr>
        <w:t xml:space="preserve">(Tabla 1) </w:t>
      </w:r>
      <w:r w:rsidR="0069547D" w:rsidRPr="008F355B">
        <w:rPr>
          <w:rFonts w:ascii="Times New Roman" w:eastAsiaTheme="minorHAnsi" w:hAnsi="Times New Roman"/>
          <w:sz w:val="24"/>
          <w:szCs w:val="24"/>
        </w:rPr>
        <w:t xml:space="preserve">podrá ser modificada por el usuario. </w:t>
      </w:r>
    </w:p>
    <w:p w:rsidR="00591488" w:rsidRPr="008F355B" w:rsidRDefault="00591488" w:rsidP="00591488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rPr>
          <w:rFonts w:ascii="Times New Roman" w:eastAsiaTheme="minorHAnsi" w:hAnsi="Times New Roman"/>
          <w:sz w:val="24"/>
          <w:szCs w:val="24"/>
        </w:rPr>
      </w:pPr>
    </w:p>
    <w:p w:rsidR="00591488" w:rsidRPr="008F355B" w:rsidRDefault="00591488" w:rsidP="00591488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t>Tabla 1. Precios medios de las tuberías de fabricantes y distribuidores en España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1202"/>
        <w:gridCol w:w="1243"/>
        <w:gridCol w:w="756"/>
        <w:gridCol w:w="636"/>
        <w:gridCol w:w="756"/>
        <w:gridCol w:w="636"/>
        <w:gridCol w:w="237"/>
        <w:gridCol w:w="1232"/>
        <w:gridCol w:w="923"/>
      </w:tblGrid>
      <w:tr w:rsidR="00591488" w:rsidRPr="008F355B" w:rsidTr="00D6082C">
        <w:trPr>
          <w:jc w:val="center"/>
        </w:trPr>
        <w:tc>
          <w:tcPr>
            <w:tcW w:w="1124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Material</w:t>
            </w:r>
          </w:p>
        </w:tc>
        <w:tc>
          <w:tcPr>
            <w:tcW w:w="1231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Diámetro </w:t>
            </w:r>
            <w:r w:rsidRPr="008F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del ramal</w:t>
            </w:r>
          </w:p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(mm)</w:t>
            </w:r>
          </w:p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PE 0.25 </w:t>
            </w:r>
            <w:proofErr w:type="spellStart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3894" w:type="dxa"/>
            <w:gridSpan w:val="5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Precio del ramal</w:t>
            </w:r>
          </w:p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(€ m-1)</w:t>
            </w:r>
          </w:p>
        </w:tc>
        <w:tc>
          <w:tcPr>
            <w:tcW w:w="242" w:type="dxa"/>
            <w:vMerge w:val="restart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gridSpan w:val="2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Precio de la </w:t>
            </w:r>
            <w:proofErr w:type="spellStart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tuberia</w:t>
            </w:r>
            <w:proofErr w:type="spellEnd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terciaria</w:t>
            </w:r>
          </w:p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PE 0.4 </w:t>
            </w:r>
            <w:proofErr w:type="spellStart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</w:tr>
      <w:tr w:rsidR="00591488" w:rsidRPr="008F355B" w:rsidTr="00D6082C">
        <w:trPr>
          <w:jc w:val="center"/>
        </w:trPr>
        <w:tc>
          <w:tcPr>
            <w:tcW w:w="1124" w:type="dxa"/>
            <w:vMerge w:val="restart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</w:t>
            </w:r>
          </w:p>
        </w:tc>
        <w:tc>
          <w:tcPr>
            <w:tcW w:w="1231" w:type="dxa"/>
            <w:vMerge w:val="restart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Exponente de emisión (x)</w:t>
            </w:r>
          </w:p>
        </w:tc>
        <w:tc>
          <w:tcPr>
            <w:tcW w:w="2784" w:type="dxa"/>
            <w:gridSpan w:val="4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Espaciamiento entre emisores (s)</w:t>
            </w:r>
          </w:p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(m)</w:t>
            </w:r>
          </w:p>
        </w:tc>
        <w:tc>
          <w:tcPr>
            <w:tcW w:w="242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Diametro</w:t>
            </w:r>
            <w:proofErr w:type="spellEnd"/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 (interno) (mm)</w:t>
            </w:r>
          </w:p>
        </w:tc>
        <w:tc>
          <w:tcPr>
            <w:tcW w:w="957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Precio </w:t>
            </w:r>
          </w:p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(€ m-1)</w:t>
            </w:r>
          </w:p>
        </w:tc>
      </w:tr>
      <w:tr w:rsidR="00591488" w:rsidRPr="008F355B" w:rsidTr="00D6082C">
        <w:trPr>
          <w:jc w:val="center"/>
        </w:trPr>
        <w:tc>
          <w:tcPr>
            <w:tcW w:w="1124" w:type="dxa"/>
            <w:vMerge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242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 xml:space="preserve">32(28) </w:t>
            </w:r>
          </w:p>
        </w:tc>
        <w:tc>
          <w:tcPr>
            <w:tcW w:w="957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0.32</w:t>
            </w:r>
          </w:p>
        </w:tc>
      </w:tr>
      <w:tr w:rsidR="00591488" w:rsidRPr="008F355B" w:rsidTr="00D6082C">
        <w:trPr>
          <w:jc w:val="center"/>
        </w:trPr>
        <w:tc>
          <w:tcPr>
            <w:tcW w:w="1124" w:type="dxa"/>
            <w:vMerge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 w:val="restart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16 (13.6)</w:t>
            </w:r>
          </w:p>
        </w:tc>
        <w:tc>
          <w:tcPr>
            <w:tcW w:w="1110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242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40(35.2)</w:t>
            </w:r>
          </w:p>
        </w:tc>
        <w:tc>
          <w:tcPr>
            <w:tcW w:w="957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</w:tr>
      <w:tr w:rsidR="00591488" w:rsidRPr="008F355B" w:rsidTr="00D6082C">
        <w:trPr>
          <w:jc w:val="center"/>
        </w:trPr>
        <w:tc>
          <w:tcPr>
            <w:tcW w:w="1124" w:type="dxa"/>
            <w:vMerge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0.175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0.145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242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50(44)</w:t>
            </w:r>
          </w:p>
        </w:tc>
        <w:tc>
          <w:tcPr>
            <w:tcW w:w="957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</w:tr>
      <w:tr w:rsidR="00591488" w:rsidRPr="008F355B" w:rsidTr="00D6082C">
        <w:trPr>
          <w:jc w:val="center"/>
        </w:trPr>
        <w:tc>
          <w:tcPr>
            <w:tcW w:w="1124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0.125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0.115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242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63(55.4)</w:t>
            </w:r>
          </w:p>
        </w:tc>
        <w:tc>
          <w:tcPr>
            <w:tcW w:w="957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</w:tr>
      <w:tr w:rsidR="00591488" w:rsidRPr="008F355B" w:rsidTr="00D6082C">
        <w:trPr>
          <w:jc w:val="center"/>
        </w:trPr>
        <w:tc>
          <w:tcPr>
            <w:tcW w:w="1124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17.5 (   )</w:t>
            </w:r>
          </w:p>
        </w:tc>
        <w:tc>
          <w:tcPr>
            <w:tcW w:w="1110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242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75(66)</w:t>
            </w:r>
          </w:p>
        </w:tc>
        <w:tc>
          <w:tcPr>
            <w:tcW w:w="957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1.75</w:t>
            </w:r>
          </w:p>
        </w:tc>
      </w:tr>
      <w:tr w:rsidR="00591488" w:rsidRPr="008F355B" w:rsidTr="00D6082C">
        <w:trPr>
          <w:jc w:val="center"/>
        </w:trPr>
        <w:tc>
          <w:tcPr>
            <w:tcW w:w="1124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20 (17.4)</w:t>
            </w:r>
          </w:p>
        </w:tc>
        <w:tc>
          <w:tcPr>
            <w:tcW w:w="1110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75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636" w:type="dxa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242" w:type="dxa"/>
            <w:vMerge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90(79.2)</w:t>
            </w:r>
          </w:p>
        </w:tc>
        <w:tc>
          <w:tcPr>
            <w:tcW w:w="957" w:type="dxa"/>
            <w:vAlign w:val="center"/>
          </w:tcPr>
          <w:p w:rsidR="00591488" w:rsidRPr="008F355B" w:rsidRDefault="00591488" w:rsidP="00D6082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5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</w:tbl>
    <w:p w:rsidR="00591488" w:rsidRPr="008F355B" w:rsidRDefault="00591488" w:rsidP="00591488">
      <w:pPr>
        <w:pStyle w:val="Lista2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69547D" w:rsidRPr="008F355B" w:rsidRDefault="0069547D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>En el bloque denominado “Regulación” cabe la opción de que el programa realice el cálculo de la presión necesaria en el origen (</w:t>
      </w:r>
      <w:r w:rsidR="00947D38" w:rsidRPr="008F355B">
        <w:rPr>
          <w:rFonts w:ascii="Times New Roman" w:eastAsiaTheme="minorHAnsi" w:hAnsi="Times New Roman"/>
          <w:sz w:val="24"/>
          <w:szCs w:val="24"/>
        </w:rPr>
        <w:t>“</w:t>
      </w:r>
      <w:proofErr w:type="spellStart"/>
      <w:r w:rsidR="00947D38" w:rsidRPr="008F355B">
        <w:rPr>
          <w:rFonts w:ascii="Times New Roman" w:eastAsiaTheme="minorHAnsi" w:hAnsi="Times New Roman"/>
          <w:sz w:val="24"/>
          <w:szCs w:val="24"/>
        </w:rPr>
        <w:t>predimensionado</w:t>
      </w:r>
      <w:proofErr w:type="spellEnd"/>
      <w:r w:rsidR="00947D38" w:rsidRPr="008F355B">
        <w:rPr>
          <w:rFonts w:ascii="Times New Roman" w:eastAsiaTheme="minorHAnsi" w:hAnsi="Times New Roman"/>
          <w:sz w:val="24"/>
          <w:szCs w:val="24"/>
        </w:rPr>
        <w:t xml:space="preserve">”) o que el usuario le introduzca un dato concreto de presión </w:t>
      </w:r>
      <w:r w:rsidR="00591488" w:rsidRPr="008F355B">
        <w:rPr>
          <w:rFonts w:ascii="Times New Roman" w:eastAsiaTheme="minorHAnsi" w:hAnsi="Times New Roman"/>
          <w:sz w:val="24"/>
          <w:szCs w:val="24"/>
        </w:rPr>
        <w:t xml:space="preserve">en el origen </w:t>
      </w:r>
      <w:r w:rsidR="00947D38" w:rsidRPr="008F355B">
        <w:rPr>
          <w:rFonts w:ascii="Times New Roman" w:eastAsiaTheme="minorHAnsi" w:hAnsi="Times New Roman"/>
          <w:sz w:val="24"/>
          <w:szCs w:val="24"/>
        </w:rPr>
        <w:t>(“si”)</w:t>
      </w:r>
    </w:p>
    <w:p w:rsidR="00C35D19" w:rsidRPr="008F355B" w:rsidRDefault="00C35D19" w:rsidP="00C35D19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>La Uniformidad de Emisión de la subunidad de riego se calcula por la ecuación</w:t>
      </w:r>
    </w:p>
    <w:p w:rsidR="00C35D19" w:rsidRPr="008F355B" w:rsidRDefault="00C35D19" w:rsidP="00C35D19">
      <w:pPr>
        <w:pStyle w:val="Lista2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position w:val="-32"/>
          <w:sz w:val="24"/>
          <w:szCs w:val="24"/>
        </w:rPr>
        <w:object w:dxaOrig="28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3pt;height:38.05pt" o:ole="">
            <v:imagedata r:id="rId7" o:title=""/>
          </v:shape>
          <o:OLEObject Type="Embed" ProgID="Equation.3" ShapeID="_x0000_i1025" DrawAspect="Content" ObjectID="_1461562453" r:id="rId8"/>
        </w:object>
      </w:r>
    </w:p>
    <w:p w:rsidR="00C35D19" w:rsidRPr="008F355B" w:rsidRDefault="00C35D19" w:rsidP="00C35D19">
      <w:pPr>
        <w:pStyle w:val="Lista2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C35D19" w:rsidRPr="008F355B" w:rsidRDefault="00C35D19" w:rsidP="00C35D19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 xml:space="preserve">Siendo: </w:t>
      </w:r>
      <w:proofErr w:type="spellStart"/>
      <w:r w:rsidRPr="008F355B">
        <w:rPr>
          <w:rFonts w:ascii="Times New Roman" w:eastAsiaTheme="minorHAnsi" w:hAnsi="Times New Roman"/>
          <w:sz w:val="24"/>
          <w:szCs w:val="24"/>
        </w:rPr>
        <w:t>q</w:t>
      </w:r>
      <w:r w:rsidRPr="008F355B">
        <w:rPr>
          <w:rFonts w:ascii="Times New Roman" w:eastAsiaTheme="minorHAnsi" w:hAnsi="Times New Roman"/>
          <w:sz w:val="24"/>
          <w:szCs w:val="24"/>
          <w:vertAlign w:val="subscript"/>
        </w:rPr>
        <w:t>m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 = el caudal mínimo en la subunidad debido a la presión; </w:t>
      </w:r>
      <w:proofErr w:type="spellStart"/>
      <w:r w:rsidRPr="008F355B">
        <w:rPr>
          <w:rFonts w:ascii="Times New Roman" w:eastAsiaTheme="minorHAnsi" w:hAnsi="Times New Roman"/>
          <w:sz w:val="24"/>
          <w:szCs w:val="24"/>
        </w:rPr>
        <w:t>q</w:t>
      </w:r>
      <w:r w:rsidRPr="008F355B">
        <w:rPr>
          <w:rFonts w:ascii="Times New Roman" w:eastAsiaTheme="minorHAnsi" w:hAnsi="Times New Roman"/>
          <w:sz w:val="24"/>
          <w:szCs w:val="24"/>
          <w:vertAlign w:val="subscript"/>
        </w:rPr>
        <w:t>a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 = la media de todos los caudales de los emisores de la subunidad; e = número de emisores por planta</w:t>
      </w:r>
    </w:p>
    <w:p w:rsidR="00497E1D" w:rsidRPr="008F355B" w:rsidRDefault="00497E1D" w:rsidP="00C35D19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rPr>
          <w:rFonts w:ascii="Times New Roman" w:eastAsiaTheme="minorHAnsi" w:hAnsi="Times New Roman"/>
          <w:sz w:val="24"/>
          <w:szCs w:val="24"/>
          <w:highlight w:val="yellow"/>
        </w:rPr>
      </w:pPr>
    </w:p>
    <w:p w:rsidR="00497E1D" w:rsidRPr="008F355B" w:rsidRDefault="00B507E9" w:rsidP="00497E1D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>La</w:t>
      </w:r>
      <w:r w:rsidR="00497E1D" w:rsidRPr="008F355B">
        <w:rPr>
          <w:rFonts w:ascii="Times New Roman" w:eastAsiaTheme="minorHAnsi" w:hAnsi="Times New Roman"/>
          <w:sz w:val="24"/>
          <w:szCs w:val="24"/>
        </w:rPr>
        <w:t xml:space="preserve"> uniformidad de emisión de una subunidad de riego puede estimarse también con el </w:t>
      </w:r>
      <w:r w:rsidRPr="008F355B">
        <w:rPr>
          <w:rFonts w:ascii="Times New Roman" w:eastAsiaTheme="minorHAnsi" w:hAnsi="Times New Roman"/>
          <w:sz w:val="24"/>
          <w:szCs w:val="24"/>
        </w:rPr>
        <w:t xml:space="preserve">Coeficiente Uniformidad de </w:t>
      </w:r>
      <w:proofErr w:type="spellStart"/>
      <w:r w:rsidR="00497E1D" w:rsidRPr="008F355B">
        <w:rPr>
          <w:rFonts w:ascii="Times New Roman" w:eastAsiaTheme="minorHAnsi" w:hAnsi="Times New Roman"/>
          <w:sz w:val="24"/>
          <w:szCs w:val="24"/>
        </w:rPr>
        <w:t>Christiansen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 CU</w:t>
      </w:r>
      <w:r w:rsidR="00497E1D" w:rsidRPr="008F355B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="00497E1D" w:rsidRPr="008F355B">
        <w:rPr>
          <w:rFonts w:ascii="Times New Roman" w:eastAsiaTheme="minorHAnsi" w:hAnsi="Times New Roman"/>
          <w:sz w:val="24"/>
          <w:szCs w:val="24"/>
        </w:rPr>
        <w:t>Christiansen</w:t>
      </w:r>
      <w:proofErr w:type="spellEnd"/>
      <w:r w:rsidR="00497E1D" w:rsidRPr="008F355B">
        <w:rPr>
          <w:rFonts w:ascii="Times New Roman" w:eastAsiaTheme="minorHAnsi" w:hAnsi="Times New Roman"/>
          <w:sz w:val="24"/>
          <w:szCs w:val="24"/>
        </w:rPr>
        <w:t xml:space="preserve"> 1942) definido como</w:t>
      </w:r>
    </w:p>
    <w:p w:rsidR="00497E1D" w:rsidRPr="008F355B" w:rsidRDefault="00B507E9" w:rsidP="00497E1D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jc w:val="center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position w:val="-64"/>
          <w:sz w:val="24"/>
          <w:szCs w:val="24"/>
        </w:rPr>
        <w:object w:dxaOrig="2520" w:dyaOrig="1400">
          <v:shape id="_x0000_i1026" type="#_x0000_t75" style="width:126.35pt;height:69.95pt" o:ole="" fillcolor="window">
            <v:imagedata r:id="rId9" o:title=""/>
          </v:shape>
          <o:OLEObject Type="Embed" ProgID="Equation.3" ShapeID="_x0000_i1026" DrawAspect="Content" ObjectID="_1461562454" r:id="rId10"/>
        </w:object>
      </w:r>
    </w:p>
    <w:p w:rsidR="00B507E9" w:rsidRPr="008F355B" w:rsidRDefault="00B507E9" w:rsidP="00B507E9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 xml:space="preserve">Siendo </w:t>
      </w:r>
      <w:proofErr w:type="spellStart"/>
      <w:r w:rsidRPr="008F355B">
        <w:rPr>
          <w:rFonts w:ascii="Times New Roman" w:eastAsiaTheme="minorHAnsi" w:hAnsi="Times New Roman"/>
          <w:sz w:val="24"/>
          <w:szCs w:val="24"/>
        </w:rPr>
        <w:t>q</w:t>
      </w:r>
      <w:r w:rsidRPr="008F355B">
        <w:rPr>
          <w:rFonts w:ascii="Times New Roman" w:eastAsiaTheme="minorHAnsi" w:hAnsi="Times New Roman"/>
          <w:sz w:val="24"/>
          <w:szCs w:val="24"/>
          <w:vertAlign w:val="subscript"/>
        </w:rPr>
        <w:t>i</w:t>
      </w:r>
      <w:proofErr w:type="spellEnd"/>
      <w:r w:rsidRPr="008F355B">
        <w:rPr>
          <w:rFonts w:ascii="Times New Roman" w:eastAsiaTheme="minorHAnsi" w:hAnsi="Times New Roman"/>
          <w:sz w:val="24"/>
          <w:szCs w:val="24"/>
        </w:rPr>
        <w:t xml:space="preserve"> el caudal de cada emisor y n el número de emisores de la subunidad de riego.</w:t>
      </w:r>
    </w:p>
    <w:p w:rsidR="00B507E9" w:rsidRPr="008F355B" w:rsidRDefault="00B507E9" w:rsidP="00B507E9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B507E9" w:rsidRPr="008F355B" w:rsidRDefault="00B507E9" w:rsidP="00B507E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</w:tabs>
        <w:suppressAutoHyphens/>
        <w:spacing w:after="120"/>
        <w:ind w:left="0"/>
        <w:jc w:val="center"/>
        <w:rPr>
          <w:rFonts w:ascii="Times New Roman" w:hAnsi="Times New Roman" w:cs="Times New Roman"/>
          <w:spacing w:val="-5"/>
          <w:sz w:val="24"/>
          <w:szCs w:val="24"/>
        </w:rPr>
      </w:pPr>
      <w:r w:rsidRPr="008F355B">
        <w:rPr>
          <w:rFonts w:ascii="Times New Roman" w:hAnsi="Times New Roman" w:cs="Times New Roman"/>
          <w:spacing w:val="-5"/>
          <w:sz w:val="24"/>
          <w:szCs w:val="24"/>
        </w:rPr>
        <w:t>El coeficiente de variación de caudal de la subunidad (</w:t>
      </w:r>
      <w:proofErr w:type="spellStart"/>
      <w:r w:rsidRPr="008F355B">
        <w:rPr>
          <w:rFonts w:ascii="Times New Roman" w:hAnsi="Times New Roman" w:cs="Times New Roman"/>
          <w:spacing w:val="-5"/>
          <w:sz w:val="24"/>
          <w:szCs w:val="24"/>
        </w:rPr>
        <w:t>CV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q</w:t>
      </w:r>
      <w:proofErr w:type="spellEnd"/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) se define como </w:t>
      </w:r>
      <w:r w:rsidR="00653C2C" w:rsidRPr="008F355B">
        <w:rPr>
          <w:rFonts w:ascii="Times New Roman" w:hAnsi="Times New Roman" w:cs="Times New Roman"/>
          <w:position w:val="-14"/>
          <w:sz w:val="24"/>
          <w:szCs w:val="24"/>
          <w:lang w:val="en-US"/>
        </w:rPr>
        <w:object w:dxaOrig="2580" w:dyaOrig="480">
          <v:shape id="_x0000_i1027" type="#_x0000_t75" style="width:129.05pt;height:23.75pt" o:ole="" fillcolor="window">
            <v:imagedata r:id="rId11" o:title=""/>
          </v:shape>
          <o:OLEObject Type="Embed" ProgID="Equation.3" ShapeID="_x0000_i1027" DrawAspect="Content" ObjectID="_1461562455" r:id="rId12"/>
        </w:object>
      </w:r>
    </w:p>
    <w:p w:rsidR="00B507E9" w:rsidRPr="008F355B" w:rsidRDefault="00B507E9" w:rsidP="00963336">
      <w:pPr>
        <w:pStyle w:val="Prrafodelista"/>
        <w:widowControl w:val="0"/>
        <w:tabs>
          <w:tab w:val="left" w:pos="-1440"/>
          <w:tab w:val="left" w:pos="-720"/>
          <w:tab w:val="left" w:pos="0"/>
        </w:tabs>
        <w:suppressAutoHyphens/>
        <w:spacing w:after="12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8F355B">
        <w:rPr>
          <w:rFonts w:ascii="Times New Roman" w:hAnsi="Times New Roman" w:cs="Times New Roman"/>
          <w:spacing w:val="-5"/>
          <w:sz w:val="24"/>
          <w:szCs w:val="24"/>
        </w:rPr>
        <w:t>donde</w:t>
      </w:r>
      <w:proofErr w:type="gramEnd"/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8F355B">
        <w:rPr>
          <w:rFonts w:ascii="Times New Roman" w:hAnsi="Times New Roman" w:cs="Times New Roman"/>
          <w:sz w:val="24"/>
          <w:szCs w:val="24"/>
        </w:rPr>
        <w:t>CV</w:t>
      </w:r>
      <w:r w:rsidRPr="008F355B">
        <w:rPr>
          <w:rFonts w:ascii="Times New Roman" w:hAnsi="Times New Roman" w:cs="Times New Roman"/>
          <w:sz w:val="24"/>
          <w:szCs w:val="24"/>
          <w:vertAlign w:val="subscript"/>
        </w:rPr>
        <w:t>qm</w:t>
      </w:r>
      <w:r w:rsidR="00591488" w:rsidRPr="008F355B">
        <w:rPr>
          <w:rFonts w:ascii="Times New Roman" w:hAnsi="Times New Roman" w:cs="Times New Roman"/>
          <w:sz w:val="24"/>
          <w:szCs w:val="24"/>
          <w:vertAlign w:val="subscript"/>
        </w:rPr>
        <w:t>f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>= coeficiente de variación de fabricación del emisor</w:t>
      </w:r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; </w:t>
      </w:r>
      <w:proofErr w:type="spellStart"/>
      <w:r w:rsidRPr="008F355B">
        <w:rPr>
          <w:rFonts w:ascii="Times New Roman" w:hAnsi="Times New Roman" w:cs="Times New Roman"/>
          <w:spacing w:val="-5"/>
          <w:sz w:val="24"/>
          <w:szCs w:val="24"/>
        </w:rPr>
        <w:t>CV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h</w:t>
      </w:r>
      <w:proofErr w:type="spellEnd"/>
      <w:r w:rsidRPr="008F355B">
        <w:rPr>
          <w:rFonts w:ascii="Times New Roman" w:hAnsi="Times New Roman" w:cs="Times New Roman"/>
          <w:spacing w:val="-5"/>
          <w:sz w:val="24"/>
          <w:szCs w:val="24"/>
        </w:rPr>
        <w:t>= coeficiente de variación de presiones (</w:t>
      </w:r>
      <w:proofErr w:type="spellStart"/>
      <w:r w:rsidRPr="008F355B">
        <w:rPr>
          <w:rFonts w:ascii="Times New Roman" w:hAnsi="Times New Roman" w:cs="Times New Roman"/>
          <w:spacing w:val="-5"/>
          <w:sz w:val="24"/>
          <w:szCs w:val="24"/>
        </w:rPr>
        <w:t>CV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h</w:t>
      </w:r>
      <w:proofErr w:type="spellEnd"/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 xml:space="preserve"> </w:t>
      </w:r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= </w:t>
      </w:r>
      <w:proofErr w:type="spellStart"/>
      <w:r w:rsidRPr="008F355B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h</w:t>
      </w:r>
      <w:proofErr w:type="spellEnd"/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 h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a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perscript"/>
        </w:rPr>
        <w:t>-1</w:t>
      </w:r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), </w:t>
      </w:r>
      <w:r w:rsidR="00963336" w:rsidRPr="008F355B">
        <w:rPr>
          <w:rFonts w:ascii="Times New Roman" w:hAnsi="Times New Roman" w:cs="Times New Roman"/>
          <w:spacing w:val="-5"/>
          <w:sz w:val="24"/>
          <w:szCs w:val="24"/>
        </w:rPr>
        <w:t>siendo</w:t>
      </w:r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8F355B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p</w:t>
      </w:r>
      <w:proofErr w:type="spellEnd"/>
      <w:r w:rsidRPr="008F355B">
        <w:rPr>
          <w:rFonts w:ascii="Times New Roman" w:hAnsi="Times New Roman" w:cs="Times New Roman"/>
          <w:spacing w:val="-5"/>
          <w:sz w:val="24"/>
          <w:szCs w:val="24"/>
        </w:rPr>
        <w:t>= desviación típica de las presiones en los emisores de la subunidad and</w:t>
      </w:r>
      <w:r w:rsidR="00963336" w:rsidRPr="008F355B">
        <w:rPr>
          <w:rFonts w:ascii="Times New Roman" w:hAnsi="Times New Roman" w:cs="Times New Roman"/>
          <w:spacing w:val="-5"/>
          <w:sz w:val="24"/>
          <w:szCs w:val="24"/>
        </w:rPr>
        <w:t>,</w:t>
      </w:r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 h</w:t>
      </w:r>
      <w:r w:rsidRPr="008F355B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a</w:t>
      </w:r>
      <w:r w:rsidRPr="008F355B">
        <w:rPr>
          <w:rFonts w:ascii="Times New Roman" w:hAnsi="Times New Roman" w:cs="Times New Roman"/>
          <w:spacing w:val="-5"/>
          <w:sz w:val="24"/>
          <w:szCs w:val="24"/>
        </w:rPr>
        <w:t xml:space="preserve">= media de las presiones en los emisores de la subunidad; x el exponente de descarga del emisor,. </w:t>
      </w:r>
    </w:p>
    <w:p w:rsidR="00C46247" w:rsidRPr="008F355B" w:rsidRDefault="00C46247" w:rsidP="00C46247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355B">
        <w:rPr>
          <w:rFonts w:ascii="Times New Roman" w:hAnsi="Times New Roman" w:cs="Times New Roman"/>
          <w:sz w:val="24"/>
          <w:szCs w:val="24"/>
        </w:rPr>
        <w:t>Δh</w:t>
      </w:r>
      <w:proofErr w:type="spellEnd"/>
      <w:r w:rsidRPr="008F355B">
        <w:rPr>
          <w:rFonts w:ascii="Times New Roman" w:hAnsi="Times New Roman" w:cs="Times New Roman"/>
          <w:sz w:val="24"/>
          <w:szCs w:val="24"/>
        </w:rPr>
        <w:t xml:space="preserve"> = Diferencia máxima de presiones en</w:t>
      </w:r>
      <w:r w:rsidR="00C35D19" w:rsidRPr="008F355B">
        <w:rPr>
          <w:rFonts w:ascii="Times New Roman" w:hAnsi="Times New Roman" w:cs="Times New Roman"/>
          <w:sz w:val="24"/>
          <w:szCs w:val="24"/>
        </w:rPr>
        <w:t>tre dos emisores de</w:t>
      </w:r>
      <w:r w:rsidRPr="008F355B">
        <w:rPr>
          <w:rFonts w:ascii="Times New Roman" w:hAnsi="Times New Roman" w:cs="Times New Roman"/>
          <w:sz w:val="24"/>
          <w:szCs w:val="24"/>
        </w:rPr>
        <w:t xml:space="preserve"> la subunidad de riego  (% de </w:t>
      </w:r>
      <w:r w:rsidR="00C35D19" w:rsidRPr="008F355B">
        <w:rPr>
          <w:rFonts w:ascii="Times New Roman" w:hAnsi="Times New Roman" w:cs="Times New Roman"/>
          <w:sz w:val="24"/>
          <w:szCs w:val="24"/>
        </w:rPr>
        <w:t>la presión media</w:t>
      </w:r>
      <w:r w:rsidRPr="008F355B">
        <w:rPr>
          <w:rFonts w:ascii="Times New Roman" w:hAnsi="Times New Roman" w:cs="Times New Roman"/>
          <w:sz w:val="24"/>
          <w:szCs w:val="24"/>
        </w:rPr>
        <w:t>)</w:t>
      </w:r>
    </w:p>
    <w:p w:rsidR="00C46247" w:rsidRPr="008F355B" w:rsidRDefault="00C46247" w:rsidP="00C46247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55B">
        <w:rPr>
          <w:rFonts w:ascii="Times New Roman" w:hAnsi="Times New Roman" w:cs="Times New Roman"/>
          <w:sz w:val="24"/>
          <w:szCs w:val="24"/>
        </w:rPr>
        <w:lastRenderedPageBreak/>
        <w:t>Δq = Diferencia máxima de caudales en</w:t>
      </w:r>
      <w:r w:rsidR="00C35D19" w:rsidRPr="008F355B">
        <w:rPr>
          <w:rFonts w:ascii="Times New Roman" w:hAnsi="Times New Roman" w:cs="Times New Roman"/>
          <w:sz w:val="24"/>
          <w:szCs w:val="24"/>
        </w:rPr>
        <w:t>tre dos emisores de</w:t>
      </w:r>
      <w:r w:rsidRPr="008F355B">
        <w:rPr>
          <w:rFonts w:ascii="Times New Roman" w:hAnsi="Times New Roman" w:cs="Times New Roman"/>
          <w:sz w:val="24"/>
          <w:szCs w:val="24"/>
        </w:rPr>
        <w:t xml:space="preserve"> la subunidad de riego  (% of </w:t>
      </w:r>
      <w:r w:rsidR="00C35D19" w:rsidRPr="008F355B">
        <w:rPr>
          <w:rFonts w:ascii="Times New Roman" w:hAnsi="Times New Roman" w:cs="Times New Roman"/>
          <w:sz w:val="24"/>
          <w:szCs w:val="24"/>
        </w:rPr>
        <w:t>del caudal medio</w:t>
      </w:r>
      <w:r w:rsidRPr="008F355B">
        <w:rPr>
          <w:rFonts w:ascii="Times New Roman" w:hAnsi="Times New Roman" w:cs="Times New Roman"/>
          <w:sz w:val="24"/>
          <w:szCs w:val="24"/>
        </w:rPr>
        <w:t>)</w:t>
      </w:r>
    </w:p>
    <w:p w:rsidR="00C46247" w:rsidRPr="008F355B" w:rsidRDefault="00653C2C" w:rsidP="00497E1D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sz w:val="24"/>
          <w:szCs w:val="24"/>
        </w:rPr>
        <w:t xml:space="preserve"> Gráfica de distribución de presiones y de caudales en la subunidad</w:t>
      </w:r>
    </w:p>
    <w:p w:rsidR="00653C2C" w:rsidRPr="008F355B" w:rsidRDefault="00653C2C" w:rsidP="00653C2C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rPr>
          <w:rFonts w:ascii="Times New Roman" w:eastAsiaTheme="minorHAnsi" w:hAnsi="Times New Roman"/>
          <w:sz w:val="24"/>
          <w:szCs w:val="24"/>
        </w:rPr>
      </w:pPr>
    </w:p>
    <w:p w:rsidR="00653C2C" w:rsidRPr="008F355B" w:rsidRDefault="00653C2C" w:rsidP="008E3FBC">
      <w:pPr>
        <w:pStyle w:val="Lista2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8F355B">
        <w:rPr>
          <w:rFonts w:ascii="Times New Roman" w:eastAsiaTheme="minorHAnsi" w:hAnsi="Times New Roman"/>
          <w:noProof/>
          <w:sz w:val="24"/>
          <w:szCs w:val="24"/>
          <w:lang w:eastAsia="es-ES"/>
        </w:rPr>
        <w:drawing>
          <wp:inline distT="0" distB="0" distL="0" distR="0">
            <wp:extent cx="2414050" cy="2321075"/>
            <wp:effectExtent l="19050" t="0" r="530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1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55" cy="2322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3FBC" w:rsidRPr="008F355B">
        <w:rPr>
          <w:rFonts w:ascii="Times New Roman" w:eastAsiaTheme="minorHAnsi" w:hAnsi="Times New Roman"/>
          <w:sz w:val="24"/>
          <w:szCs w:val="24"/>
        </w:rPr>
        <w:t xml:space="preserve">   </w:t>
      </w:r>
      <w:r w:rsidR="008E3FBC" w:rsidRPr="008F355B">
        <w:rPr>
          <w:rFonts w:ascii="Times New Roman" w:eastAsiaTheme="minorHAnsi" w:hAnsi="Times New Roman"/>
          <w:noProof/>
          <w:sz w:val="24"/>
          <w:szCs w:val="24"/>
          <w:lang w:eastAsia="es-ES"/>
        </w:rPr>
        <w:drawing>
          <wp:inline distT="0" distB="0" distL="0" distR="0">
            <wp:extent cx="2740053" cy="2328196"/>
            <wp:effectExtent l="19050" t="0" r="3147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167" cy="233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3C2C" w:rsidRPr="008F355B" w:rsidSect="000763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DA42070"/>
    <w:multiLevelType w:val="hybridMultilevel"/>
    <w:tmpl w:val="32E267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40A12"/>
    <w:multiLevelType w:val="hybridMultilevel"/>
    <w:tmpl w:val="BD528E10"/>
    <w:lvl w:ilvl="0" w:tplc="8EAA992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3" w:hanging="360"/>
      </w:pPr>
    </w:lvl>
    <w:lvl w:ilvl="2" w:tplc="0C0A001B" w:tentative="1">
      <w:start w:val="1"/>
      <w:numFmt w:val="lowerRoman"/>
      <w:lvlText w:val="%3."/>
      <w:lvlJc w:val="right"/>
      <w:pPr>
        <w:ind w:left="2083" w:hanging="180"/>
      </w:pPr>
    </w:lvl>
    <w:lvl w:ilvl="3" w:tplc="0C0A000F" w:tentative="1">
      <w:start w:val="1"/>
      <w:numFmt w:val="decimal"/>
      <w:lvlText w:val="%4."/>
      <w:lvlJc w:val="left"/>
      <w:pPr>
        <w:ind w:left="2803" w:hanging="360"/>
      </w:pPr>
    </w:lvl>
    <w:lvl w:ilvl="4" w:tplc="0C0A0019" w:tentative="1">
      <w:start w:val="1"/>
      <w:numFmt w:val="lowerLetter"/>
      <w:lvlText w:val="%5."/>
      <w:lvlJc w:val="left"/>
      <w:pPr>
        <w:ind w:left="3523" w:hanging="360"/>
      </w:pPr>
    </w:lvl>
    <w:lvl w:ilvl="5" w:tplc="0C0A001B" w:tentative="1">
      <w:start w:val="1"/>
      <w:numFmt w:val="lowerRoman"/>
      <w:lvlText w:val="%6."/>
      <w:lvlJc w:val="right"/>
      <w:pPr>
        <w:ind w:left="4243" w:hanging="180"/>
      </w:pPr>
    </w:lvl>
    <w:lvl w:ilvl="6" w:tplc="0C0A000F" w:tentative="1">
      <w:start w:val="1"/>
      <w:numFmt w:val="decimal"/>
      <w:lvlText w:val="%7."/>
      <w:lvlJc w:val="left"/>
      <w:pPr>
        <w:ind w:left="4963" w:hanging="360"/>
      </w:pPr>
    </w:lvl>
    <w:lvl w:ilvl="7" w:tplc="0C0A0019" w:tentative="1">
      <w:start w:val="1"/>
      <w:numFmt w:val="lowerLetter"/>
      <w:lvlText w:val="%8."/>
      <w:lvlJc w:val="left"/>
      <w:pPr>
        <w:ind w:left="5683" w:hanging="360"/>
      </w:pPr>
    </w:lvl>
    <w:lvl w:ilvl="8" w:tplc="0C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6C542E0B"/>
    <w:multiLevelType w:val="hybridMultilevel"/>
    <w:tmpl w:val="5B9E135E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F31029"/>
    <w:rsid w:val="00010828"/>
    <w:rsid w:val="0001225D"/>
    <w:rsid w:val="00074A77"/>
    <w:rsid w:val="000763D9"/>
    <w:rsid w:val="00187DC8"/>
    <w:rsid w:val="00281AA5"/>
    <w:rsid w:val="002F2C8D"/>
    <w:rsid w:val="00304E9A"/>
    <w:rsid w:val="003C45C3"/>
    <w:rsid w:val="003F5BAF"/>
    <w:rsid w:val="00497E1D"/>
    <w:rsid w:val="004D7042"/>
    <w:rsid w:val="00591488"/>
    <w:rsid w:val="00653C2C"/>
    <w:rsid w:val="00691AC0"/>
    <w:rsid w:val="0069547D"/>
    <w:rsid w:val="006C07BE"/>
    <w:rsid w:val="006D31B4"/>
    <w:rsid w:val="006F0668"/>
    <w:rsid w:val="00855577"/>
    <w:rsid w:val="00895A36"/>
    <w:rsid w:val="008E3FBC"/>
    <w:rsid w:val="008F355B"/>
    <w:rsid w:val="00905C0E"/>
    <w:rsid w:val="00947D38"/>
    <w:rsid w:val="00963336"/>
    <w:rsid w:val="00A95D3E"/>
    <w:rsid w:val="00AB256D"/>
    <w:rsid w:val="00B507E9"/>
    <w:rsid w:val="00BB3EA6"/>
    <w:rsid w:val="00C35D19"/>
    <w:rsid w:val="00C46247"/>
    <w:rsid w:val="00F31029"/>
    <w:rsid w:val="00FB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102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A36"/>
    <w:rPr>
      <w:rFonts w:ascii="Tahoma" w:hAnsi="Tahoma" w:cs="Tahoma"/>
      <w:sz w:val="16"/>
      <w:szCs w:val="16"/>
    </w:rPr>
  </w:style>
  <w:style w:type="paragraph" w:styleId="Lista2">
    <w:name w:val="List 2"/>
    <w:basedOn w:val="Normal"/>
    <w:uiPriority w:val="99"/>
    <w:unhideWhenUsed/>
    <w:rsid w:val="00691AC0"/>
    <w:pPr>
      <w:ind w:left="566" w:hanging="283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basedOn w:val="Fuentedeprrafopredeter"/>
    <w:rsid w:val="00691AC0"/>
  </w:style>
  <w:style w:type="paragraph" w:styleId="Textosinformato">
    <w:name w:val="Plain Text"/>
    <w:basedOn w:val="Normal"/>
    <w:link w:val="TextosinformatoCar"/>
    <w:uiPriority w:val="99"/>
    <w:semiHidden/>
    <w:unhideWhenUsed/>
    <w:rsid w:val="00497E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97E1D"/>
    <w:rPr>
      <w:rFonts w:ascii="Consolas" w:hAnsi="Consolas"/>
      <w:sz w:val="21"/>
      <w:szCs w:val="21"/>
    </w:rPr>
  </w:style>
  <w:style w:type="character" w:customStyle="1" w:styleId="mediumtext">
    <w:name w:val="medium_text"/>
    <w:basedOn w:val="Fuentedeprrafopredeter"/>
    <w:rsid w:val="00C46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102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A36"/>
    <w:rPr>
      <w:rFonts w:ascii="Tahoma" w:hAnsi="Tahoma" w:cs="Tahoma"/>
      <w:sz w:val="16"/>
      <w:szCs w:val="16"/>
    </w:rPr>
  </w:style>
  <w:style w:type="paragraph" w:styleId="Lista2">
    <w:name w:val="List 2"/>
    <w:basedOn w:val="Normal"/>
    <w:uiPriority w:val="99"/>
    <w:unhideWhenUsed/>
    <w:rsid w:val="00691AC0"/>
    <w:pPr>
      <w:ind w:left="566" w:hanging="283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basedOn w:val="Fuentedeprrafopredeter"/>
    <w:rsid w:val="00691A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CBD7A-70DA-4B64-A319-C305465B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923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Castilla-La Mancha</Company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José María Tarjuelo</cp:lastModifiedBy>
  <cp:revision>11</cp:revision>
  <dcterms:created xsi:type="dcterms:W3CDTF">2014-04-30T07:14:00Z</dcterms:created>
  <dcterms:modified xsi:type="dcterms:W3CDTF">2014-05-14T06:48:00Z</dcterms:modified>
</cp:coreProperties>
</file>